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pPr w:bottomFromText="0" w:horzAnchor="margin" w:leftFromText="180" w:rightFromText="180" w:tblpX="0" w:tblpXSpec="center" w:tblpY="621" w:topFromText="0" w:vertAnchor="page"/>
        <w:tblW w:w="103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5"/>
        <w:gridCol w:w="1431"/>
        <w:gridCol w:w="1848"/>
        <w:gridCol w:w="1206"/>
        <w:gridCol w:w="1326"/>
        <w:gridCol w:w="785"/>
        <w:gridCol w:w="2241"/>
        <w:gridCol w:w="12"/>
      </w:tblGrid>
      <w:tr>
        <w:trPr>
          <w:trHeight w:val="1403" w:hRule="atLeast"/>
        </w:trPr>
        <w:tc>
          <w:tcPr>
            <w:tcW w:w="10384" w:type="dxa"/>
            <w:gridSpan w:val="8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  <w:lang w:val="en-GB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 xml:space="preserve">公寓名称： 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Signature Cannon Park</w:t>
              <w:br/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公寓商：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U-Homes Estate Ltd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GB" w:eastAsia="zh-CN" w:bidi="ar-S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公寓地址：</w:t>
            </w:r>
            <w:r>
              <w:rPr>
                <w:rFonts w:ascii="Arial" w:hAnsi="Arial" w:cs="Arial"/>
                <w:color w:val="202124"/>
                <w:szCs w:val="21"/>
                <w:shd w:fill="FFFFFF" w:val="clear"/>
                <w:lang w:val="en-US" w:eastAsia="zh-CN" w:bidi="ar-SA"/>
              </w:rPr>
              <w:t xml:space="preserve"> </w:t>
            </w:r>
            <w:r>
              <w:rPr>
                <w:rFonts w:cs="Arial" w:ascii="Arial" w:hAnsi="Arial"/>
                <w:color w:val="202124"/>
                <w:szCs w:val="21"/>
                <w:shd w:fill="FFFFFF" w:val="clear"/>
                <w:lang w:val="en-US" w:eastAsia="zh-CN" w:bidi="ar-SA"/>
              </w:rPr>
              <w:t>Cornerfield Cottage, Shultern Ln, Cannon Park, Coventry CV4 7AN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公寓详细描述：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与新建公寓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Vita Cannon Park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紧邻，仅相隔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50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米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华威大学周边除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Vita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外唯一可以步行到学校的校外公寓（校园仅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600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米！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WMG 800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米，实测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10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分钟以内到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WMG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 xml:space="preserve">， 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15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分钟以内至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WBS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），门口有公交车站（步行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分钟），门口有超市购物区（步行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分钟，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Tesco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 xml:space="preserve">， 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Aldi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Iceland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Wilko,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韩超一家，中超两家，邮局，理发等等），早起有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Costa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咖啡，下课有快乐柠檬奶茶，通通步行一分钟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位于犯罪率地图中最安全的富人区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Cannon Park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，刷门禁卡，摄像头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24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小时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CCTV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，巡逻保安在公寓商周边物业中巡回巡视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  <w:lang w:val="en-GB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中英两大本地房产公司合作联手打造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24h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以及非工作日无间断服务，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GB" w:eastAsia="zh-CN" w:bidi="ar-SA"/>
              </w:rPr>
              <w:t>中国房产公司于非工作时间依然提供服务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房龄较新，绝大多数租客为中国学生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为学生提供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ensuite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（独立卫浴仅双人共用厨房）房型和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studio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（独立卫浴独立厨房）房型。房间内实现了全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Wi-Fi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覆盖，并且拥有足够的储物空间。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公寓房间内配备了基本的设施，例如床（含床垫），衣柜，学习桌，厨房内提供微波炉烤箱炉灶等设施。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公寓内还配备洗衣房，休息区域，娱乐健身厅，户外休闲区，停车场，自行车停放区等。</w:t>
            </w:r>
          </w:p>
        </w:tc>
      </w:tr>
      <w:tr>
        <w:trPr>
          <w:trHeight w:val="558" w:hRule="atLeast"/>
        </w:trPr>
        <w:tc>
          <w:tcPr>
            <w:tcW w:w="10384" w:type="dxa"/>
            <w:gridSpan w:val="8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照片要求：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 xml:space="preserve">外观，前台，厨房，房间，卫生间活动室，户型图，走廊，过道，附近商店，公交地铁站 </w:t>
            </w:r>
          </w:p>
        </w:tc>
      </w:tr>
      <w:tr>
        <w:trPr/>
        <w:tc>
          <w:tcPr>
            <w:tcW w:w="10384" w:type="dxa"/>
            <w:gridSpan w:val="8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公寓电话：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+44 07581066626,+86 18654682900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1935" w:leader="none"/>
              </w:tabs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  <w:lang w:val="en-GB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公寓联系人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: Tonghe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GB" w:eastAsia="zh-CN" w:bidi="ar-SA"/>
              </w:rPr>
              <w:t xml:space="preserve"> Yang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  <w:lang w:val="en-GB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公寓邮箱：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sandy@uhomes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GB" w:eastAsia="zh-CN" w:bidi="ar-SA"/>
              </w:rPr>
              <w:t>estate.com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租期开始时间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房型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租期</w:t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面积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床大小</w:t>
            </w:r>
          </w:p>
        </w:tc>
        <w:tc>
          <w:tcPr>
            <w:tcW w:w="7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押金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房租支付时间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 xml:space="preserve"> 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15/09/2021-14/09/2022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Ensuite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  <w:lang w:val="en-GB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170 pw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52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周固定租期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可商议安排语言班短租</w:t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13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平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+6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平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  <w:lang w:val="en-GB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1.2m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GB" w:eastAsia="zh-CN" w:bidi="ar-SA"/>
              </w:rPr>
              <w:t>*1.9m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GB" w:eastAsia="zh-CN" w:bidi="ar-SA"/>
              </w:rPr>
              <w:t>双人床</w:t>
            </w:r>
          </w:p>
        </w:tc>
        <w:tc>
          <w:tcPr>
            <w:tcW w:w="7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£250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15/08/2023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序号</w:t>
            </w:r>
          </w:p>
        </w:tc>
        <w:tc>
          <w:tcPr>
            <w:tcW w:w="8837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需要完善内容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步行去大学距离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0.4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英里（约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600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米）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goole map 9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分钟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>
          <w:trHeight w:val="374" w:hRule="atLeast"/>
        </w:trPr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周边的餐馆，商超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  <w:lang w:val="en-GB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Tesco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 xml:space="preserve">， 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Aldi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Iceland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Wilko,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 xml:space="preserve">韩超一家，中超两家，邮局，理发店， 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Costa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，快乐柠檬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3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签合同的冷静期是多久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48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小时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4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双人入住加钱多少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不可双人入住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ensuite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5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是否可以朋友亲戚入住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理论上不可以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6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是否可以分期付款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否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7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公寓一共几层楼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4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8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有几个</w:t>
            </w:r>
            <w:r>
              <w:rPr>
                <w:szCs w:val="21"/>
                <w:lang w:val="en-US" w:eastAsia="zh-CN" w:bidi="ar-SA"/>
              </w:rPr>
              <w:t>block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9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是否有电梯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是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10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Flat</w:t>
            </w:r>
            <w:r>
              <w:rPr>
                <w:szCs w:val="21"/>
                <w:lang w:val="en-US" w:eastAsia="zh-CN" w:bidi="ar-SA"/>
              </w:rPr>
              <w:t>有几人间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两独立卫浴共用一厨房；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studio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11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硬件设施有哪些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橱柜，烤箱，微波炉，炉灶，电冰箱，吧台，椅子；双人床，床垫，衣柜，书桌，学习椅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12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szCs w:val="21"/>
                <w:lang w:val="en-US" w:eastAsia="zh-CN" w:bidi="ar-SA"/>
              </w:rPr>
              <w:t>Check in</w:t>
            </w:r>
            <w:r>
              <w:rPr>
                <w:szCs w:val="21"/>
                <w:lang w:val="en-US" w:eastAsia="zh-CN" w:bidi="ar-SA"/>
              </w:rPr>
              <w:t>需要带什么材料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Student ID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student status letter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passport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13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非工作时间</w:t>
            </w:r>
            <w:r>
              <w:rPr>
                <w:szCs w:val="21"/>
                <w:lang w:val="en-US" w:eastAsia="zh-CN" w:bidi="ar-SA"/>
              </w:rPr>
              <w:t>check in</w:t>
            </w:r>
            <w:r>
              <w:rPr>
                <w:szCs w:val="21"/>
                <w:lang w:val="en-US" w:eastAsia="zh-CN" w:bidi="ar-SA"/>
              </w:rPr>
              <w:t>是否可以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可以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14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公寓里是地毯还是地板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地毯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&amp;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地板（房间地毯，厨房地板，浴室瓷砖）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15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公共区域是否有打扰，打扫周期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学生需自己维护房间内和厨房整洁；大公共区域有保洁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16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是否可以寄存行李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可以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17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窗户是否可以打开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可以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18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是否有健身房，是否免费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公共区域有娱乐运动区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19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lang w:val="en-US" w:eastAsia="zh-CN" w:bidi="ar-SA"/>
              </w:rPr>
              <w:t>是否有停车场，收不收费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有停车场，不收费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20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网速是多少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高速网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21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lang w:val="en-US" w:eastAsia="zh-CN" w:bidi="ar-SA"/>
              </w:rPr>
              <w:t>房间内是否有电视，空调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22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厨房有几个炉灶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一个四孔电磁炉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23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lang w:val="en-US" w:eastAsia="zh-CN" w:bidi="ar-SA"/>
              </w:rPr>
              <w:t>房间内是否是洗衣机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否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24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暖气是否能够一直开，还是开一段时间就会自己关闭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公寓有统一的设置，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6:00-9:00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；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14:00-15:30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18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：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00-22:30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（根据户外温度，暖气将持续整晚）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25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是否有遮光的床帘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有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26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lang w:val="en-US" w:eastAsia="zh-CN" w:bidi="ar-SA"/>
              </w:rPr>
              <w:t>房型卫浴中是淋浴还是浴缸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淋浴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27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建造时间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19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28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朝向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北，西，南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29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szCs w:val="21"/>
                <w:lang w:val="en-US" w:eastAsia="zh-CN" w:bidi="ar-SA"/>
              </w:rPr>
              <w:t>一次性付款是否有优惠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  <w:lang w:val="en-GB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GB" w:eastAsia="zh-CN" w:bidi="ar-SA"/>
              </w:rPr>
              <w:t>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30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lang w:val="en-US" w:eastAsia="zh-CN" w:bidi="ar-SA"/>
              </w:rPr>
              <w:t>房租包含哪几项费用（</w:t>
            </w:r>
            <w:r>
              <w:rPr>
                <w:lang w:val="en-US" w:eastAsia="zh-CN" w:bidi="ar-SA"/>
              </w:rPr>
              <w:t>utility</w:t>
            </w:r>
            <w:r>
              <w:rPr>
                <w:lang w:val="en-US" w:eastAsia="zh-CN" w:bidi="ar-SA"/>
              </w:rPr>
              <w:t>）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水电气网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31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lang w:val="en-US" w:eastAsia="zh-CN" w:bidi="ar-SA"/>
              </w:rPr>
              <w:t>房型卫浴中是淋浴还是浴缸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淋浴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32</w:t>
            </w:r>
          </w:p>
        </w:tc>
        <w:tc>
          <w:tcPr>
            <w:tcW w:w="327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1"/>
              </w:rPr>
            </w:pPr>
            <w:r>
              <w:rPr>
                <w:lang w:val="en-US" w:eastAsia="zh-CN" w:bidi="ar-SA"/>
              </w:rPr>
              <w:t>是否包早餐</w:t>
            </w:r>
          </w:p>
        </w:tc>
        <w:tc>
          <w:tcPr>
            <w:tcW w:w="555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否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10384" w:type="dxa"/>
            <w:gridSpan w:val="8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备注推荐理由（特点、卖点）：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与新建公寓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Vita Cannon Park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紧邻，仅相隔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50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米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华威大学周边除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Vita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外唯一可以步行到学校的校外公寓（校园仅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600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米！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WMG 800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米，实测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10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分钟以内到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WMG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 xml:space="preserve">， 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15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分钟以内至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WBS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），门口有公交车站（步行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分钟），门口有超市购物区（步行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分钟，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Tesco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 xml:space="preserve">， 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Aldi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Iceland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Wilko,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韩超一家，中超两家，邮局，理发等等），早起有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Costa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咖啡，下课有快乐柠檬奶茶，通通步行一分钟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位于犯罪率地图中最安全的富人区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Cannon Park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，刷门禁卡，摄像头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24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小时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CCTV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，巡逻保安在公寓商周边物业中巡回巡视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  <w:lang w:val="en-GB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中英两大本地房产公司合作联手打造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szCs w:val="21"/>
                <w:lang w:val="en-US" w:eastAsia="zh-CN" w:bidi="ar-SA"/>
              </w:rPr>
              <w:t>24h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以及非工作日无间断服务，</w:t>
            </w:r>
            <w:r>
              <w:rPr>
                <w:rFonts w:ascii="宋体" w:hAnsi="宋体" w:cs="宋体" w:asciiTheme="majorEastAsia" w:cstheme="majorEastAsia" w:hAnsiTheme="majorEastAsia"/>
                <w:szCs w:val="21"/>
                <w:lang w:val="en-GB" w:eastAsia="zh-CN" w:bidi="ar-SA"/>
              </w:rPr>
              <w:t>中国房产公司于非工作时间依然提供服务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szCs w:val="21"/>
                <w:lang w:val="en-US" w:eastAsia="zh-CN" w:bidi="ar-SA"/>
              </w:rPr>
              <w:t>房龄较新，绝大多数租客为中国学生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为学生提供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ensuite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（独立卫浴仅双人共用厨房）房型和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studio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（独立卫浴独立厨房）房型。房间内实现了全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/>
                <w:bCs/>
                <w:szCs w:val="21"/>
                <w:lang w:val="en-US" w:eastAsia="zh-CN" w:bidi="ar-SA"/>
              </w:rPr>
              <w:t>Wi-Fi</w:t>
            </w: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覆盖，并且拥有足够的储物空间。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/>
                <w:b/>
                <w:bCs/>
                <w:szCs w:val="21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公寓房间内配备了基本的设施，例如床（含床垫），衣柜，学习桌，厨房内提供微波炉烤箱炉灶等设施。</w:t>
            </w:r>
          </w:p>
          <w:p>
            <w:pPr>
              <w:pStyle w:val="Normal"/>
              <w:widowControl w:val="false"/>
              <w:spacing w:before="0" w:after="0"/>
              <w:ind w:firstLine="316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szCs w:val="21"/>
                <w:lang w:val="en-GB"/>
              </w:rPr>
            </w:pPr>
            <w:r>
              <w:rPr>
                <w:rFonts w:ascii="宋体" w:hAnsi="宋体" w:cs="宋体" w:asciiTheme="majorEastAsia" w:cstheme="majorEastAsia" w:hAnsiTheme="majorEastAsia"/>
                <w:b/>
                <w:bCs/>
                <w:szCs w:val="21"/>
                <w:lang w:val="en-US" w:eastAsia="zh-CN" w:bidi="ar-SA"/>
              </w:rPr>
              <w:t>公寓内还配备洗衣房，休息区域，娱乐健身厅，户外休闲区，停车场，自行车停放区等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624" w:right="624" w:gutter="624" w:header="0" w:top="624" w:footer="0" w:bottom="624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宋体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HTML Variable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</w:rPr>
  </w:style>
  <w:style w:type="character" w:styleId="Style14" w:customStyle="1">
    <w:name w:val="页眉 字符"/>
    <w:basedOn w:val="DefaultParagraphFont"/>
    <w:link w:val="Header"/>
    <w:qFormat/>
    <w:rsid w:val="000463c1"/>
    <w:rPr>
      <w:rFonts w:ascii="Calibri" w:hAnsi="Calibri" w:eastAsia="宋体" w:cs="" w:asciiTheme="minorHAnsi" w:cstheme="minorBidi" w:eastAsiaTheme="minorEastAsia" w:hAnsiTheme="minorHAnsi"/>
      <w:kern w:val="2"/>
      <w:sz w:val="18"/>
      <w:szCs w:val="18"/>
    </w:rPr>
  </w:style>
  <w:style w:type="character" w:styleId="Style15" w:customStyle="1">
    <w:name w:val="页脚 字符"/>
    <w:basedOn w:val="DefaultParagraphFont"/>
    <w:link w:val="Footer"/>
    <w:qFormat/>
    <w:rsid w:val="000463c1"/>
    <w:rPr>
      <w:rFonts w:ascii="Calibri" w:hAnsi="Calibri" w:eastAsia="宋体" w:cs="" w:asciiTheme="minorHAnsi" w:cstheme="minorBidi" w:eastAsiaTheme="minorEastAsia" w:hAnsiTheme="minorHAnsi"/>
      <w:kern w:val="2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rsid w:val="000463c1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rsid w:val="000463c1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fe2fb4"/>
    <w:pPr>
      <w:ind w:firstLine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Application>EasyOffice/7.4.1.2.0$Windows_X86_64 LibreOffice_project/a2821865dbda20afc0f3893178a1c6c4f3471238</Application>
  <AppVersion>15.0000</AppVersion>
  <Pages>2</Pages>
  <Words>1565</Words>
  <Characters>2066</Characters>
  <CharactersWithSpaces>2109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2021-04-13T10:40:00Z</dcterms:created>
  <dc:creator>haoju</dc:creator>
  <dc:description/>
  <dc:language>en-GB</dc:language>
  <cp:lastModifiedBy>Zhang, Besse</cp:lastModifiedBy>
  <dcterms:modified xsi:type="dcterms:W3CDTF">2022-12-07T08:44:00Z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